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F1" w:rsidRDefault="000373F1" w:rsidP="004C6D75">
      <w:pPr>
        <w:spacing w:line="288" w:lineRule="auto"/>
        <w:jc w:val="center"/>
        <w:rPr>
          <w:b/>
          <w:sz w:val="22"/>
          <w:szCs w:val="22"/>
        </w:rPr>
      </w:pPr>
      <w:r>
        <w:rPr>
          <w:noProof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-122555</wp:posOffset>
                </wp:positionV>
                <wp:extent cx="1438275" cy="400050"/>
                <wp:effectExtent l="0" t="1270" r="381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3F1" w:rsidRDefault="000373F1" w:rsidP="00037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4.7pt;margin-top:-9.65pt;width:113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" stroked="f">
                <v:textbox>
                  <w:txbxContent>
                    <w:p w:rsidR="000373F1" w:rsidRDefault="000373F1" w:rsidP="000373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536D" w:rsidRDefault="00B5536D" w:rsidP="00B5536D">
      <w:pPr>
        <w:pStyle w:val="a7"/>
        <w:spacing w:line="288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B0EC4CA" wp14:editId="40A03F71">
            <wp:extent cx="6762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36D" w:rsidRPr="00552CEE" w:rsidRDefault="00B5536D" w:rsidP="00B5536D">
      <w:pPr>
        <w:pStyle w:val="a7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МУНИЦИПАЛЬНОЕ ОБРАЗОВАНИЕ ГОРОД ЭНГЕЛЬС</w:t>
      </w:r>
    </w:p>
    <w:p w:rsidR="00B5536D" w:rsidRPr="00552CEE" w:rsidRDefault="00B5536D" w:rsidP="00B5536D">
      <w:pPr>
        <w:spacing w:line="288" w:lineRule="auto"/>
        <w:jc w:val="center"/>
        <w:rPr>
          <w:b/>
        </w:rPr>
      </w:pPr>
      <w:r w:rsidRPr="00552CEE">
        <w:rPr>
          <w:b/>
        </w:rPr>
        <w:t>ЭНГЕЛЬССКОГО МУНИЦИПАЛЬНОГО РАЙОНА</w:t>
      </w:r>
    </w:p>
    <w:p w:rsidR="00B5536D" w:rsidRPr="00552CEE" w:rsidRDefault="00B5536D" w:rsidP="00B5536D">
      <w:pPr>
        <w:spacing w:line="288" w:lineRule="auto"/>
        <w:jc w:val="center"/>
        <w:rPr>
          <w:b/>
        </w:rPr>
      </w:pPr>
      <w:r w:rsidRPr="00552CEE">
        <w:rPr>
          <w:b/>
        </w:rPr>
        <w:t>САРАТОВСКОЙ ОБЛАСТИ</w:t>
      </w:r>
    </w:p>
    <w:p w:rsidR="00B5536D" w:rsidRPr="00552CEE" w:rsidRDefault="00B5536D" w:rsidP="00B5536D">
      <w:pPr>
        <w:pStyle w:val="a7"/>
        <w:spacing w:line="288" w:lineRule="auto"/>
        <w:jc w:val="left"/>
        <w:rPr>
          <w:sz w:val="24"/>
          <w:szCs w:val="24"/>
        </w:rPr>
      </w:pPr>
    </w:p>
    <w:p w:rsidR="00B5536D" w:rsidRPr="00552CEE" w:rsidRDefault="00B5536D" w:rsidP="00B5536D">
      <w:pPr>
        <w:pStyle w:val="a7"/>
        <w:spacing w:line="288" w:lineRule="auto"/>
        <w:jc w:val="center"/>
        <w:rPr>
          <w:sz w:val="24"/>
          <w:szCs w:val="24"/>
        </w:rPr>
      </w:pPr>
      <w:r w:rsidRPr="00552CEE">
        <w:rPr>
          <w:sz w:val="24"/>
          <w:szCs w:val="24"/>
        </w:rPr>
        <w:t>ЭНГЕЛЬССКИЙ ГОРОДСКОЙ СОВЕТ ДЕПУТАТОВ</w:t>
      </w:r>
    </w:p>
    <w:p w:rsidR="00B5536D" w:rsidRPr="00552CEE" w:rsidRDefault="00B5536D" w:rsidP="00B5536D">
      <w:pPr>
        <w:spacing w:line="288" w:lineRule="auto"/>
        <w:ind w:firstLine="709"/>
        <w:rPr>
          <w:b/>
          <w:bCs/>
        </w:rPr>
      </w:pPr>
      <w:r w:rsidRPr="00552CEE">
        <w:rPr>
          <w:b/>
          <w:bCs/>
        </w:rPr>
        <w:tab/>
      </w:r>
      <w:r w:rsidRPr="00552CEE">
        <w:rPr>
          <w:b/>
          <w:bCs/>
        </w:rPr>
        <w:tab/>
      </w:r>
    </w:p>
    <w:p w:rsidR="00B5536D" w:rsidRPr="00552CEE" w:rsidRDefault="00B5536D" w:rsidP="00B5536D">
      <w:pPr>
        <w:spacing w:line="288" w:lineRule="auto"/>
        <w:jc w:val="center"/>
        <w:rPr>
          <w:b/>
          <w:bCs/>
          <w:iCs/>
        </w:rPr>
      </w:pPr>
      <w:r w:rsidRPr="00552CEE">
        <w:rPr>
          <w:b/>
          <w:bCs/>
          <w:iCs/>
        </w:rPr>
        <w:t>РЕШЕНИЕ</w:t>
      </w:r>
    </w:p>
    <w:p w:rsidR="004C6D75" w:rsidRDefault="004C6D75" w:rsidP="001A3881">
      <w:pPr>
        <w:spacing w:line="288" w:lineRule="auto"/>
      </w:pPr>
    </w:p>
    <w:p w:rsidR="000373F1" w:rsidRDefault="000373F1" w:rsidP="000373F1">
      <w:pPr>
        <w:widowControl w:val="0"/>
        <w:autoSpaceDE w:val="0"/>
        <w:autoSpaceDN w:val="0"/>
        <w:adjustRightInd w:val="0"/>
        <w:spacing w:line="288" w:lineRule="auto"/>
        <w:rPr>
          <w:b/>
          <w:bCs/>
        </w:rPr>
      </w:pPr>
      <w:r>
        <w:rPr>
          <w:b/>
        </w:rPr>
        <w:t xml:space="preserve">от  </w:t>
      </w:r>
      <w:r w:rsidR="00C80A81">
        <w:rPr>
          <w:b/>
        </w:rPr>
        <w:t>27 апреля</w:t>
      </w:r>
      <w:r>
        <w:rPr>
          <w:b/>
        </w:rPr>
        <w:t xml:space="preserve"> </w:t>
      </w:r>
      <w:r>
        <w:rPr>
          <w:b/>
          <w:bCs/>
        </w:rPr>
        <w:t xml:space="preserve"> 2016 года                                                         </w:t>
      </w:r>
      <w:r w:rsidR="00C80A81">
        <w:rPr>
          <w:b/>
          <w:bCs/>
        </w:rPr>
        <w:t xml:space="preserve">                            </w:t>
      </w:r>
      <w:r>
        <w:rPr>
          <w:b/>
          <w:bCs/>
        </w:rPr>
        <w:t xml:space="preserve">  № </w:t>
      </w:r>
      <w:r w:rsidR="00C80A81">
        <w:rPr>
          <w:b/>
          <w:bCs/>
        </w:rPr>
        <w:t>320</w:t>
      </w:r>
      <w:r>
        <w:rPr>
          <w:b/>
          <w:bCs/>
        </w:rPr>
        <w:t>/01</w:t>
      </w:r>
    </w:p>
    <w:p w:rsidR="00C80A81" w:rsidRDefault="00C80A81" w:rsidP="000373F1">
      <w:pPr>
        <w:widowControl w:val="0"/>
        <w:autoSpaceDE w:val="0"/>
        <w:autoSpaceDN w:val="0"/>
        <w:adjustRightInd w:val="0"/>
        <w:spacing w:line="288" w:lineRule="auto"/>
        <w:rPr>
          <w:b/>
          <w:bCs/>
        </w:rPr>
      </w:pPr>
    </w:p>
    <w:p w:rsidR="000373F1" w:rsidRDefault="00C80A81" w:rsidP="000373F1">
      <w:pPr>
        <w:spacing w:line="288" w:lineRule="auto"/>
        <w:jc w:val="right"/>
        <w:rPr>
          <w:b/>
          <w:bCs/>
          <w:iCs/>
        </w:rPr>
      </w:pPr>
      <w:r>
        <w:rPr>
          <w:b/>
          <w:bCs/>
          <w:iCs/>
        </w:rPr>
        <w:t xml:space="preserve">Пятьдесят первое </w:t>
      </w:r>
      <w:r w:rsidR="000373F1">
        <w:rPr>
          <w:b/>
          <w:bCs/>
          <w:iCs/>
        </w:rPr>
        <w:t>заседание</w:t>
      </w:r>
    </w:p>
    <w:p w:rsidR="00C80A81" w:rsidRDefault="00C80A81" w:rsidP="000373F1">
      <w:pPr>
        <w:spacing w:line="288" w:lineRule="auto"/>
        <w:jc w:val="right"/>
        <w:rPr>
          <w:b/>
          <w:bCs/>
          <w:iCs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0373F1" w:rsidTr="000373F1">
        <w:tc>
          <w:tcPr>
            <w:tcW w:w="5495" w:type="dxa"/>
          </w:tcPr>
          <w:p w:rsidR="001E0470" w:rsidRPr="001E0470" w:rsidRDefault="001E0470" w:rsidP="001E0470">
            <w:pPr>
              <w:spacing w:line="288" w:lineRule="auto"/>
              <w:jc w:val="both"/>
              <w:rPr>
                <w:b/>
                <w:bCs/>
                <w:noProof/>
              </w:rPr>
            </w:pPr>
            <w:proofErr w:type="gramStart"/>
            <w:r>
              <w:rPr>
                <w:b/>
                <w:bCs/>
                <w:noProof/>
              </w:rPr>
              <w:t xml:space="preserve">Об утверждении </w:t>
            </w:r>
            <w:r w:rsidRPr="001E0470">
              <w:rPr>
                <w:b/>
                <w:bCs/>
                <w:noProof/>
              </w:rPr>
              <w:t>Поряд</w:t>
            </w:r>
            <w:r>
              <w:rPr>
                <w:b/>
                <w:bCs/>
                <w:noProof/>
              </w:rPr>
              <w:t>ка</w:t>
            </w:r>
            <w:r w:rsidRPr="001E0470">
              <w:rPr>
                <w:b/>
                <w:bCs/>
                <w:noProof/>
              </w:rPr>
      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Энгельс Энгельсского муниципального района Саратовской области, муниципальных служащих органов местного самоуправления муниципального образования город Энгельс Энгельсского муниципального района Саратовской области в сети Интернет на официальном сайте и предоставления этих сведений средствам массовой информации</w:t>
            </w:r>
            <w:proofErr w:type="gramEnd"/>
          </w:p>
          <w:p w:rsidR="000373F1" w:rsidRDefault="000373F1" w:rsidP="001E0470">
            <w:pPr>
              <w:spacing w:line="288" w:lineRule="auto"/>
              <w:jc w:val="both"/>
              <w:rPr>
                <w:b/>
                <w:bCs/>
              </w:rPr>
            </w:pPr>
          </w:p>
        </w:tc>
      </w:tr>
      <w:tr w:rsidR="00C80A81" w:rsidTr="000373F1">
        <w:tc>
          <w:tcPr>
            <w:tcW w:w="5495" w:type="dxa"/>
          </w:tcPr>
          <w:p w:rsidR="00C80A81" w:rsidRDefault="00C80A81" w:rsidP="001E0470">
            <w:pPr>
              <w:spacing w:line="288" w:lineRule="auto"/>
              <w:jc w:val="both"/>
              <w:rPr>
                <w:b/>
                <w:bCs/>
                <w:noProof/>
              </w:rPr>
            </w:pPr>
          </w:p>
        </w:tc>
      </w:tr>
    </w:tbl>
    <w:p w:rsidR="000373F1" w:rsidRDefault="00F622EF" w:rsidP="00C80A81">
      <w:pPr>
        <w:pStyle w:val="a3"/>
        <w:spacing w:before="0" w:after="0" w:line="288" w:lineRule="auto"/>
        <w:ind w:firstLine="992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</w:t>
      </w:r>
      <w:r w:rsidR="000373F1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1E0470">
        <w:rPr>
          <w:rFonts w:ascii="Times New Roman" w:hAnsi="Times New Roman" w:cs="Times New Roman"/>
          <w:color w:val="auto"/>
          <w:sz w:val="24"/>
          <w:szCs w:val="24"/>
        </w:rPr>
        <w:t>Федеральным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законом от</w:t>
      </w:r>
      <w:r w:rsidR="00C80A81">
        <w:rPr>
          <w:rFonts w:ascii="Times New Roman" w:hAnsi="Times New Roman" w:cs="Times New Roman"/>
          <w:color w:val="auto"/>
          <w:sz w:val="24"/>
          <w:szCs w:val="24"/>
        </w:rPr>
        <w:t xml:space="preserve"> 25 декабря 2008 года №273-ФЗ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 противодействии коррупции», Указом Президента Российской Федерации от 8 июля 2013 года №613 «Вопросы противодействия коррупции», руководствуясь  </w:t>
      </w:r>
      <w:r w:rsidR="000373F1">
        <w:rPr>
          <w:rFonts w:ascii="Times New Roman" w:hAnsi="Times New Roman" w:cs="Times New Roman"/>
          <w:color w:val="auto"/>
          <w:sz w:val="24"/>
          <w:szCs w:val="24"/>
        </w:rPr>
        <w:t xml:space="preserve">Уставом муниципального образования город Энгельс </w:t>
      </w:r>
      <w:proofErr w:type="spellStart"/>
      <w:r w:rsidR="000373F1">
        <w:rPr>
          <w:rFonts w:ascii="Times New Roman" w:hAnsi="Times New Roman" w:cs="Times New Roman"/>
          <w:color w:val="auto"/>
          <w:sz w:val="24"/>
          <w:szCs w:val="24"/>
        </w:rPr>
        <w:t>Энгельсского</w:t>
      </w:r>
      <w:proofErr w:type="spellEnd"/>
      <w:r w:rsidR="000373F1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Саратовской области,</w:t>
      </w:r>
      <w:r w:rsidR="000373F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End"/>
    </w:p>
    <w:p w:rsidR="000373F1" w:rsidRDefault="000373F1" w:rsidP="00C80A81">
      <w:pPr>
        <w:spacing w:line="288" w:lineRule="auto"/>
        <w:ind w:firstLine="708"/>
        <w:jc w:val="both"/>
      </w:pPr>
      <w:proofErr w:type="spellStart"/>
      <w:r>
        <w:t>Энгельсский</w:t>
      </w:r>
      <w:proofErr w:type="spellEnd"/>
      <w:r>
        <w:t xml:space="preserve"> городской Совет депутатов </w:t>
      </w:r>
    </w:p>
    <w:p w:rsidR="000373F1" w:rsidRDefault="000373F1" w:rsidP="001A3881">
      <w:pPr>
        <w:tabs>
          <w:tab w:val="left" w:pos="3828"/>
        </w:tabs>
        <w:spacing w:line="288" w:lineRule="auto"/>
        <w:rPr>
          <w:b/>
          <w:bCs/>
        </w:rPr>
      </w:pPr>
      <w:r>
        <w:rPr>
          <w:b/>
          <w:bCs/>
        </w:rPr>
        <w:tab/>
        <w:t>РЕШИЛ:</w:t>
      </w:r>
    </w:p>
    <w:p w:rsidR="001E0470" w:rsidRDefault="001E0470" w:rsidP="00C80A81">
      <w:pPr>
        <w:tabs>
          <w:tab w:val="left" w:pos="3828"/>
        </w:tabs>
        <w:spacing w:line="288" w:lineRule="auto"/>
        <w:rPr>
          <w:b/>
          <w:bCs/>
        </w:rPr>
      </w:pPr>
    </w:p>
    <w:p w:rsidR="000373F1" w:rsidRPr="008629C7" w:rsidRDefault="001E0470" w:rsidP="00C80A81">
      <w:pPr>
        <w:spacing w:line="288" w:lineRule="auto"/>
        <w:ind w:firstLine="709"/>
        <w:jc w:val="both"/>
        <w:rPr>
          <w:bCs/>
          <w:noProof/>
        </w:rPr>
      </w:pPr>
      <w:r w:rsidRPr="001E0470">
        <w:rPr>
          <w:bCs/>
        </w:rPr>
        <w:t xml:space="preserve">1. </w:t>
      </w:r>
      <w:proofErr w:type="gramStart"/>
      <w:r w:rsidRPr="008629C7">
        <w:rPr>
          <w:bCs/>
        </w:rPr>
        <w:t xml:space="preserve">Утвердить </w:t>
      </w:r>
      <w:r w:rsidRPr="008629C7">
        <w:rPr>
          <w:bCs/>
          <w:noProof/>
        </w:rPr>
        <w:t>Поряд</w:t>
      </w:r>
      <w:r w:rsidR="008629C7">
        <w:rPr>
          <w:bCs/>
          <w:noProof/>
        </w:rPr>
        <w:t>ок</w:t>
      </w:r>
      <w:r w:rsidRPr="008629C7">
        <w:rPr>
          <w:bCs/>
          <w:noProof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Энгельс Энгельсского муниципального района </w:t>
      </w:r>
      <w:r w:rsidRPr="008629C7">
        <w:rPr>
          <w:bCs/>
          <w:noProof/>
        </w:rPr>
        <w:lastRenderedPageBreak/>
        <w:t>Саратовской области, муниципальных служащих органов местного самоуправления муниципального образования город Энгельс Энгельсского муниципального района Саратовской области в сети Интернет на официальном сайте и предоставления этих сведений средствам массовой информации</w:t>
      </w:r>
      <w:r w:rsidR="008629C7" w:rsidRPr="008629C7">
        <w:rPr>
          <w:bCs/>
        </w:rPr>
        <w:t xml:space="preserve"> </w:t>
      </w:r>
      <w:r w:rsidR="008629C7">
        <w:rPr>
          <w:bCs/>
        </w:rPr>
        <w:t>согласно Приложению.</w:t>
      </w:r>
      <w:proofErr w:type="gramEnd"/>
    </w:p>
    <w:p w:rsidR="00484436" w:rsidRDefault="000373F1" w:rsidP="00C80A81">
      <w:pPr>
        <w:spacing w:line="288" w:lineRule="auto"/>
      </w:pPr>
      <w:r>
        <w:tab/>
        <w:t>2. Настоящее решение вступает в силу со дня официального опубликования.</w:t>
      </w:r>
    </w:p>
    <w:p w:rsidR="008629C7" w:rsidRDefault="000373F1" w:rsidP="00C80A81">
      <w:pPr>
        <w:spacing w:line="288" w:lineRule="auto"/>
        <w:jc w:val="both"/>
      </w:pPr>
      <w:r>
        <w:tab/>
        <w:t>3. Со дня вступления в силу настоящего решения отменить</w:t>
      </w:r>
      <w:r w:rsidR="008629C7">
        <w:t>:</w:t>
      </w:r>
    </w:p>
    <w:p w:rsidR="008629C7" w:rsidRPr="008629C7" w:rsidRDefault="008629C7" w:rsidP="00C80A81">
      <w:pPr>
        <w:spacing w:line="288" w:lineRule="auto"/>
        <w:ind w:firstLine="708"/>
        <w:jc w:val="both"/>
        <w:rPr>
          <w:bCs/>
        </w:rPr>
      </w:pPr>
      <w:proofErr w:type="gramStart"/>
      <w:r>
        <w:rPr>
          <w:bCs/>
        </w:rPr>
        <w:t xml:space="preserve">- </w:t>
      </w:r>
      <w:r w:rsidRPr="00F622EF">
        <w:rPr>
          <w:bCs/>
        </w:rPr>
        <w:t xml:space="preserve">решение </w:t>
      </w:r>
      <w:proofErr w:type="spellStart"/>
      <w:r w:rsidRPr="00F622EF">
        <w:rPr>
          <w:bCs/>
        </w:rPr>
        <w:t>Энгельсского</w:t>
      </w:r>
      <w:proofErr w:type="spellEnd"/>
      <w:r w:rsidRPr="00F622EF">
        <w:rPr>
          <w:bCs/>
        </w:rPr>
        <w:t xml:space="preserve"> городского Совета депутатов от 29 марта 2013 года №765/02</w:t>
      </w:r>
      <w:r>
        <w:rPr>
          <w:bCs/>
        </w:rPr>
        <w:t xml:space="preserve"> «</w:t>
      </w:r>
      <w:r w:rsidRPr="008629C7">
        <w:rPr>
          <w:bCs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на постоянной основе муниципальные должности муниципального образования город Энгельс </w:t>
      </w:r>
      <w:proofErr w:type="spellStart"/>
      <w:r w:rsidRPr="008629C7">
        <w:rPr>
          <w:bCs/>
        </w:rPr>
        <w:t>Энгельсского</w:t>
      </w:r>
      <w:proofErr w:type="spellEnd"/>
      <w:r w:rsidRPr="008629C7">
        <w:rPr>
          <w:bCs/>
        </w:rPr>
        <w:t xml:space="preserve"> муниципального района Саратовской области, муниципальных служащих органов местного самоуправления муниципального образования город Энгельс </w:t>
      </w:r>
      <w:proofErr w:type="spellStart"/>
      <w:r w:rsidRPr="008629C7">
        <w:rPr>
          <w:bCs/>
        </w:rPr>
        <w:t>Энгельсского</w:t>
      </w:r>
      <w:proofErr w:type="spellEnd"/>
      <w:r w:rsidRPr="008629C7">
        <w:rPr>
          <w:bCs/>
        </w:rPr>
        <w:t xml:space="preserve"> муниципального района Саратовской области в сети Интернет на официальном</w:t>
      </w:r>
      <w:proofErr w:type="gramEnd"/>
      <w:r w:rsidRPr="008629C7">
        <w:rPr>
          <w:bCs/>
        </w:rPr>
        <w:t xml:space="preserve"> </w:t>
      </w:r>
      <w:proofErr w:type="gramStart"/>
      <w:r w:rsidRPr="008629C7">
        <w:rPr>
          <w:bCs/>
        </w:rPr>
        <w:t>сайте</w:t>
      </w:r>
      <w:proofErr w:type="gramEnd"/>
      <w:r w:rsidRPr="008629C7">
        <w:rPr>
          <w:bCs/>
        </w:rPr>
        <w:t xml:space="preserve"> и предоставления этих сведений средствам массовой информации</w:t>
      </w:r>
      <w:r>
        <w:rPr>
          <w:bCs/>
        </w:rPr>
        <w:t>»;</w:t>
      </w:r>
    </w:p>
    <w:p w:rsidR="000373F1" w:rsidRDefault="008629C7" w:rsidP="00C80A81">
      <w:pPr>
        <w:spacing w:line="288" w:lineRule="auto"/>
        <w:ind w:firstLine="708"/>
        <w:jc w:val="both"/>
      </w:pPr>
      <w:r>
        <w:t>-</w:t>
      </w:r>
      <w:r w:rsidR="000373F1">
        <w:t xml:space="preserve"> пункт</w:t>
      </w:r>
      <w:r>
        <w:t>ы</w:t>
      </w:r>
      <w:r w:rsidR="000373F1">
        <w:t xml:space="preserve"> 4</w:t>
      </w:r>
      <w:r>
        <w:t>,5</w:t>
      </w:r>
      <w:r w:rsidR="000373F1">
        <w:t xml:space="preserve"> решения </w:t>
      </w:r>
      <w:proofErr w:type="spellStart"/>
      <w:r w:rsidR="000373F1">
        <w:t>Энгельсского</w:t>
      </w:r>
      <w:proofErr w:type="spellEnd"/>
      <w:r w:rsidR="000373F1">
        <w:t xml:space="preserve"> городского Совета депутатов от 26 февраля 2016 года №300/01 «</w:t>
      </w:r>
      <w:r w:rsidR="000373F1" w:rsidRPr="000373F1">
        <w:t xml:space="preserve">О реализации законодательства о противодействии коррупции в отношении лиц, замещающих муниципальные должности в органах местного самоуправления муниципального образования город Энгельс </w:t>
      </w:r>
      <w:proofErr w:type="spellStart"/>
      <w:r w:rsidR="000373F1" w:rsidRPr="000373F1">
        <w:t>Энгельсского</w:t>
      </w:r>
      <w:proofErr w:type="spellEnd"/>
      <w:r w:rsidR="000373F1" w:rsidRPr="000373F1">
        <w:t xml:space="preserve"> муниципального района Саратовской области</w:t>
      </w:r>
      <w:r>
        <w:t>».</w:t>
      </w:r>
    </w:p>
    <w:p w:rsidR="000373F1" w:rsidRDefault="000373F1" w:rsidP="00C80A81">
      <w:pPr>
        <w:spacing w:line="288" w:lineRule="auto"/>
        <w:ind w:firstLine="709"/>
        <w:jc w:val="both"/>
      </w:pPr>
      <w:r w:rsidRPr="000373F1">
        <w:t xml:space="preserve">  </w:t>
      </w:r>
      <w:r>
        <w:t xml:space="preserve">4. Контроль </w:t>
      </w:r>
      <w:r w:rsidRPr="006B43FC">
        <w:t>исполнени</w:t>
      </w:r>
      <w:r>
        <w:t>я</w:t>
      </w:r>
      <w:r w:rsidRPr="006B43FC">
        <w:t xml:space="preserve"> настоящего решения возложить на Комиссию по правовому обеспечению и развитию м</w:t>
      </w:r>
      <w:r>
        <w:t>естного самоуправления.</w:t>
      </w:r>
    </w:p>
    <w:p w:rsidR="000373F1" w:rsidRDefault="000373F1" w:rsidP="00C80A81">
      <w:pPr>
        <w:spacing w:line="288" w:lineRule="auto"/>
        <w:jc w:val="both"/>
      </w:pPr>
    </w:p>
    <w:p w:rsidR="00C80A81" w:rsidRDefault="00C80A81" w:rsidP="00C80A81">
      <w:pPr>
        <w:spacing w:line="288" w:lineRule="auto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C80A81" w:rsidRDefault="00C80A81" w:rsidP="00C80A81">
      <w:pPr>
        <w:spacing w:line="288" w:lineRule="auto"/>
        <w:rPr>
          <w:b/>
        </w:rPr>
      </w:pPr>
      <w:r>
        <w:rPr>
          <w:b/>
        </w:rPr>
        <w:t xml:space="preserve">образования город Энгельс                                                                       С.Е. </w:t>
      </w:r>
      <w:proofErr w:type="spellStart"/>
      <w:r>
        <w:rPr>
          <w:b/>
        </w:rPr>
        <w:t>Горевский</w:t>
      </w:r>
      <w:proofErr w:type="spellEnd"/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8629C7" w:rsidRDefault="008629C7" w:rsidP="00C80A81">
      <w:pPr>
        <w:spacing w:line="288" w:lineRule="auto"/>
        <w:jc w:val="right"/>
        <w:rPr>
          <w:b/>
        </w:rPr>
      </w:pPr>
    </w:p>
    <w:p w:rsidR="00F622EF" w:rsidRDefault="00F622EF" w:rsidP="00C80A81">
      <w:pPr>
        <w:spacing w:line="288" w:lineRule="auto"/>
        <w:rPr>
          <w:b/>
        </w:rPr>
      </w:pPr>
    </w:p>
    <w:p w:rsidR="001A3881" w:rsidRDefault="001A3881" w:rsidP="00C80A81">
      <w:pPr>
        <w:spacing w:line="288" w:lineRule="auto"/>
        <w:rPr>
          <w:b/>
        </w:rPr>
      </w:pPr>
      <w:bookmarkStart w:id="0" w:name="_GoBack"/>
      <w:bookmarkEnd w:id="0"/>
    </w:p>
    <w:p w:rsidR="00E41E69" w:rsidRDefault="00E41E69" w:rsidP="00C80A81">
      <w:pPr>
        <w:spacing w:line="288" w:lineRule="auto"/>
        <w:rPr>
          <w:b/>
        </w:rPr>
      </w:pPr>
    </w:p>
    <w:p w:rsidR="00B5536D" w:rsidRDefault="00B5536D" w:rsidP="00C80A81">
      <w:pPr>
        <w:spacing w:line="288" w:lineRule="auto"/>
        <w:rPr>
          <w:b/>
        </w:rPr>
      </w:pPr>
    </w:p>
    <w:p w:rsidR="00F622EF" w:rsidRPr="00F622EF" w:rsidRDefault="00F622EF" w:rsidP="00C80A81">
      <w:pPr>
        <w:spacing w:line="288" w:lineRule="auto"/>
        <w:rPr>
          <w:b/>
          <w:bCs/>
        </w:rPr>
      </w:pPr>
    </w:p>
    <w:p w:rsidR="00F622EF" w:rsidRPr="00F622EF" w:rsidRDefault="00F622EF" w:rsidP="00C80A81">
      <w:pPr>
        <w:spacing w:line="288" w:lineRule="auto"/>
        <w:jc w:val="right"/>
        <w:rPr>
          <w:b/>
          <w:bCs/>
        </w:rPr>
      </w:pPr>
      <w:r w:rsidRPr="00F622EF">
        <w:rPr>
          <w:b/>
          <w:bCs/>
        </w:rPr>
        <w:lastRenderedPageBreak/>
        <w:t xml:space="preserve">Приложение </w:t>
      </w:r>
    </w:p>
    <w:p w:rsidR="00F622EF" w:rsidRPr="00F622EF" w:rsidRDefault="00F622EF" w:rsidP="00C80A81">
      <w:pPr>
        <w:spacing w:line="288" w:lineRule="auto"/>
        <w:jc w:val="right"/>
        <w:rPr>
          <w:bCs/>
        </w:rPr>
      </w:pPr>
      <w:r w:rsidRPr="00F622EF">
        <w:rPr>
          <w:bCs/>
        </w:rPr>
        <w:t xml:space="preserve">к решению </w:t>
      </w:r>
      <w:proofErr w:type="spellStart"/>
      <w:r w:rsidRPr="00F622EF">
        <w:rPr>
          <w:bCs/>
        </w:rPr>
        <w:t>Энгельсского</w:t>
      </w:r>
      <w:proofErr w:type="spellEnd"/>
      <w:r w:rsidRPr="00F622EF">
        <w:rPr>
          <w:bCs/>
        </w:rPr>
        <w:t xml:space="preserve"> городского Совета депутатов </w:t>
      </w:r>
    </w:p>
    <w:p w:rsidR="00F622EF" w:rsidRPr="00F622EF" w:rsidRDefault="00F622EF" w:rsidP="00C80A81">
      <w:pPr>
        <w:spacing w:line="288" w:lineRule="auto"/>
        <w:jc w:val="right"/>
        <w:rPr>
          <w:b/>
          <w:bCs/>
        </w:rPr>
      </w:pPr>
      <w:r w:rsidRPr="00F622EF">
        <w:rPr>
          <w:b/>
          <w:bCs/>
        </w:rPr>
        <w:t xml:space="preserve">от </w:t>
      </w:r>
      <w:r w:rsidR="00D12213">
        <w:rPr>
          <w:b/>
          <w:bCs/>
        </w:rPr>
        <w:t xml:space="preserve"> </w:t>
      </w:r>
      <w:r w:rsidR="00C80A81">
        <w:rPr>
          <w:b/>
          <w:bCs/>
        </w:rPr>
        <w:t xml:space="preserve">27 апреля 2016 года </w:t>
      </w:r>
      <w:r w:rsidR="00D12213">
        <w:rPr>
          <w:b/>
          <w:bCs/>
        </w:rPr>
        <w:t xml:space="preserve"> </w:t>
      </w:r>
      <w:r w:rsidRPr="00F622EF">
        <w:rPr>
          <w:b/>
          <w:bCs/>
        </w:rPr>
        <w:t>№</w:t>
      </w:r>
      <w:r w:rsidR="00C80A81">
        <w:rPr>
          <w:b/>
          <w:bCs/>
        </w:rPr>
        <w:t xml:space="preserve">  320/01</w:t>
      </w:r>
    </w:p>
    <w:p w:rsidR="00F622EF" w:rsidRPr="00F622EF" w:rsidRDefault="00F622EF" w:rsidP="00C80A81">
      <w:pPr>
        <w:spacing w:line="288" w:lineRule="auto"/>
        <w:jc w:val="right"/>
        <w:rPr>
          <w:b/>
          <w:bCs/>
        </w:rPr>
      </w:pPr>
    </w:p>
    <w:p w:rsidR="00F622EF" w:rsidRDefault="00F622EF" w:rsidP="00C80A81">
      <w:pPr>
        <w:spacing w:line="288" w:lineRule="auto"/>
        <w:jc w:val="center"/>
        <w:rPr>
          <w:b/>
          <w:bCs/>
        </w:rPr>
      </w:pPr>
      <w:proofErr w:type="gramStart"/>
      <w:r w:rsidRPr="00F622EF">
        <w:rPr>
          <w:b/>
          <w:bCs/>
        </w:rPr>
        <w:t xml:space="preserve">Порядок размещения сведений о доходах, </w:t>
      </w:r>
      <w:r>
        <w:rPr>
          <w:b/>
          <w:bCs/>
        </w:rPr>
        <w:t xml:space="preserve">расходах, </w:t>
      </w:r>
      <w:r w:rsidRPr="00F622EF">
        <w:rPr>
          <w:b/>
          <w:bCs/>
        </w:rPr>
        <w:t xml:space="preserve">об имуществе и обязательствах имущественного характера лиц, замещающих муниципальные должности муниципального образования город Энгельс </w:t>
      </w:r>
      <w:proofErr w:type="spellStart"/>
      <w:r w:rsidRPr="00F622EF">
        <w:rPr>
          <w:b/>
          <w:bCs/>
        </w:rPr>
        <w:t>Энгельсского</w:t>
      </w:r>
      <w:proofErr w:type="spellEnd"/>
      <w:r w:rsidRPr="00F622EF">
        <w:rPr>
          <w:b/>
          <w:bCs/>
        </w:rPr>
        <w:t xml:space="preserve"> муниципального района Саратовской области, муниципальных служащих органов местного самоуправления муниципального образования город Энгельс </w:t>
      </w:r>
      <w:proofErr w:type="spellStart"/>
      <w:r w:rsidRPr="00F622EF">
        <w:rPr>
          <w:b/>
          <w:bCs/>
        </w:rPr>
        <w:t>Энгельсского</w:t>
      </w:r>
      <w:proofErr w:type="spellEnd"/>
      <w:r w:rsidRPr="00F622EF">
        <w:rPr>
          <w:b/>
          <w:bCs/>
        </w:rPr>
        <w:t xml:space="preserve"> муниципального района Саратовской области в сети Интернет на официальном сайте и предоставления этих сведений средствам массовой информации</w:t>
      </w:r>
      <w:proofErr w:type="gramEnd"/>
    </w:p>
    <w:p w:rsidR="00065881" w:rsidRDefault="00065881" w:rsidP="00C80A81">
      <w:pPr>
        <w:spacing w:line="288" w:lineRule="auto"/>
        <w:rPr>
          <w:bCs/>
        </w:rPr>
      </w:pPr>
    </w:p>
    <w:p w:rsidR="00065881" w:rsidRDefault="00065881" w:rsidP="00C80A81">
      <w:pPr>
        <w:spacing w:line="288" w:lineRule="auto"/>
        <w:ind w:firstLine="708"/>
        <w:jc w:val="both"/>
        <w:rPr>
          <w:bCs/>
        </w:rPr>
      </w:pPr>
      <w:r w:rsidRPr="00293CD7">
        <w:rPr>
          <w:bCs/>
        </w:rPr>
        <w:t xml:space="preserve">1. </w:t>
      </w:r>
      <w:proofErr w:type="gramStart"/>
      <w:r w:rsidRPr="00293CD7">
        <w:rPr>
          <w:bCs/>
        </w:rPr>
        <w:t xml:space="preserve">Настоящий порядок </w:t>
      </w:r>
      <w:r w:rsidR="00293CD7" w:rsidRPr="00293CD7">
        <w:rPr>
          <w:bCs/>
        </w:rPr>
        <w:t xml:space="preserve">определяет правила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Энгельс </w:t>
      </w:r>
      <w:proofErr w:type="spellStart"/>
      <w:r w:rsidR="00293CD7" w:rsidRPr="00293CD7">
        <w:rPr>
          <w:bCs/>
        </w:rPr>
        <w:t>Энгельсского</w:t>
      </w:r>
      <w:proofErr w:type="spellEnd"/>
      <w:r w:rsidR="00293CD7" w:rsidRPr="00293CD7">
        <w:rPr>
          <w:bCs/>
        </w:rPr>
        <w:t xml:space="preserve"> муниципального района Саратовской области, муниципальных служащих органов местного самоуправления муниципального образования город Энгельс </w:t>
      </w:r>
      <w:proofErr w:type="spellStart"/>
      <w:r w:rsidR="00293CD7" w:rsidRPr="00293CD7">
        <w:rPr>
          <w:bCs/>
        </w:rPr>
        <w:t>Энгельсского</w:t>
      </w:r>
      <w:proofErr w:type="spellEnd"/>
      <w:r w:rsidR="00293CD7" w:rsidRPr="00293CD7">
        <w:rPr>
          <w:bCs/>
        </w:rPr>
        <w:t xml:space="preserve"> муниципального района Саратовской области в сети Интернет на официальном сайте </w:t>
      </w:r>
      <w:r w:rsidR="00293CD7">
        <w:rPr>
          <w:bCs/>
        </w:rPr>
        <w:t xml:space="preserve"> </w:t>
      </w:r>
      <w:hyperlink r:id="rId6" w:history="1">
        <w:r w:rsidR="00293CD7" w:rsidRPr="002A0E9C">
          <w:rPr>
            <w:rStyle w:val="a6"/>
            <w:bCs/>
            <w:lang w:val="en-US"/>
          </w:rPr>
          <w:t>www</w:t>
        </w:r>
        <w:r w:rsidR="00293CD7" w:rsidRPr="00293CD7">
          <w:rPr>
            <w:rStyle w:val="a6"/>
            <w:bCs/>
          </w:rPr>
          <w:t>.</w:t>
        </w:r>
        <w:proofErr w:type="spellStart"/>
        <w:r w:rsidR="00293CD7" w:rsidRPr="002A0E9C">
          <w:rPr>
            <w:rStyle w:val="a6"/>
            <w:bCs/>
            <w:lang w:val="en-US"/>
          </w:rPr>
          <w:t>engels</w:t>
        </w:r>
        <w:proofErr w:type="spellEnd"/>
        <w:r w:rsidR="00293CD7" w:rsidRPr="00293CD7">
          <w:rPr>
            <w:rStyle w:val="a6"/>
            <w:bCs/>
          </w:rPr>
          <w:t>.</w:t>
        </w:r>
        <w:r w:rsidR="00293CD7" w:rsidRPr="002A0E9C">
          <w:rPr>
            <w:rStyle w:val="a6"/>
            <w:bCs/>
            <w:lang w:val="en-US"/>
          </w:rPr>
          <w:t>me</w:t>
        </w:r>
      </w:hyperlink>
      <w:r w:rsidR="00293CD7" w:rsidRPr="00293CD7">
        <w:rPr>
          <w:bCs/>
        </w:rPr>
        <w:t xml:space="preserve"> </w:t>
      </w:r>
      <w:r w:rsidR="00293CD7">
        <w:rPr>
          <w:bCs/>
        </w:rPr>
        <w:t xml:space="preserve">(далее-официальный сайт) и правила </w:t>
      </w:r>
      <w:r w:rsidR="00293CD7" w:rsidRPr="00293CD7">
        <w:rPr>
          <w:bCs/>
        </w:rPr>
        <w:t>предоставления этих сведений средствам массовой</w:t>
      </w:r>
      <w:proofErr w:type="gramEnd"/>
      <w:r w:rsidR="00293CD7" w:rsidRPr="00293CD7">
        <w:rPr>
          <w:bCs/>
        </w:rPr>
        <w:t xml:space="preserve"> информации</w:t>
      </w:r>
      <w:r w:rsidR="00392463">
        <w:rPr>
          <w:bCs/>
        </w:rPr>
        <w:t xml:space="preserve"> для опубликования в связи с их запросами.</w:t>
      </w:r>
    </w:p>
    <w:p w:rsidR="00392463" w:rsidRDefault="00392463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 xml:space="preserve">2. </w:t>
      </w:r>
      <w:proofErr w:type="gramStart"/>
      <w:r>
        <w:rPr>
          <w:bCs/>
        </w:rPr>
        <w:t xml:space="preserve">Размещению на официальном сайте и предоставлению средствам массовой информации подлежат сведения </w:t>
      </w:r>
      <w:r w:rsidRPr="00293CD7">
        <w:rPr>
          <w:bCs/>
        </w:rPr>
        <w:t>о доходах, расходах, об имуществе и обязательствах имущественного характера лиц, замещающих муниципальные должности</w:t>
      </w:r>
      <w:r w:rsidR="001E0470">
        <w:rPr>
          <w:bCs/>
        </w:rPr>
        <w:t xml:space="preserve">, </w:t>
      </w:r>
      <w:r w:rsidRPr="00293CD7">
        <w:rPr>
          <w:bCs/>
        </w:rPr>
        <w:t xml:space="preserve"> </w:t>
      </w:r>
      <w:r w:rsidR="001E0470">
        <w:rPr>
          <w:bCs/>
        </w:rPr>
        <w:t xml:space="preserve">в органах  местного самоуправления </w:t>
      </w:r>
      <w:r w:rsidRPr="00293CD7">
        <w:rPr>
          <w:bCs/>
        </w:rPr>
        <w:t xml:space="preserve">муниципального образования город Энгельс </w:t>
      </w:r>
      <w:proofErr w:type="spellStart"/>
      <w:r w:rsidRPr="00293CD7">
        <w:rPr>
          <w:bCs/>
        </w:rPr>
        <w:t>Энгельсского</w:t>
      </w:r>
      <w:proofErr w:type="spellEnd"/>
      <w:r w:rsidRPr="00293CD7">
        <w:rPr>
          <w:bCs/>
        </w:rPr>
        <w:t xml:space="preserve"> муниципального района Саратовской области</w:t>
      </w:r>
      <w:r w:rsidR="001E0470">
        <w:rPr>
          <w:bCs/>
        </w:rPr>
        <w:t xml:space="preserve"> и</w:t>
      </w:r>
      <w:r w:rsidRPr="00293CD7">
        <w:rPr>
          <w:bCs/>
        </w:rPr>
        <w:t xml:space="preserve"> муниципальных служащих</w:t>
      </w:r>
      <w:r>
        <w:rPr>
          <w:bCs/>
        </w:rPr>
        <w:t>, замещающих должности муниципальной службы в</w:t>
      </w:r>
      <w:r w:rsidRPr="00293CD7">
        <w:rPr>
          <w:bCs/>
        </w:rPr>
        <w:t xml:space="preserve"> орган</w:t>
      </w:r>
      <w:r>
        <w:rPr>
          <w:bCs/>
        </w:rPr>
        <w:t>ах</w:t>
      </w:r>
      <w:r w:rsidRPr="00293CD7">
        <w:rPr>
          <w:bCs/>
        </w:rPr>
        <w:t xml:space="preserve"> местного самоуправления муниципального образования город Энгельс </w:t>
      </w:r>
      <w:proofErr w:type="spellStart"/>
      <w:r w:rsidRPr="00293CD7">
        <w:rPr>
          <w:bCs/>
        </w:rPr>
        <w:t>Энгельсского</w:t>
      </w:r>
      <w:proofErr w:type="spellEnd"/>
      <w:r w:rsidRPr="00293CD7">
        <w:rPr>
          <w:bCs/>
        </w:rPr>
        <w:t xml:space="preserve"> муниципального района Саратовской области</w:t>
      </w:r>
      <w:r>
        <w:rPr>
          <w:bCs/>
        </w:rPr>
        <w:t xml:space="preserve">, </w:t>
      </w:r>
      <w:r w:rsidR="001E0470">
        <w:rPr>
          <w:bCs/>
        </w:rPr>
        <w:t xml:space="preserve"> предусмотренные перечнем должностей</w:t>
      </w:r>
      <w:proofErr w:type="gramEnd"/>
      <w:r w:rsidR="001E0470">
        <w:rPr>
          <w:bCs/>
        </w:rPr>
        <w:t xml:space="preserve"> </w:t>
      </w:r>
      <w:proofErr w:type="gramStart"/>
      <w:r w:rsidR="001E0470">
        <w:rPr>
          <w:bCs/>
        </w:rPr>
        <w:t xml:space="preserve">муниципальной службы в органах местного самоуправления </w:t>
      </w:r>
      <w:r w:rsidR="001E0470" w:rsidRPr="00293CD7">
        <w:rPr>
          <w:bCs/>
        </w:rPr>
        <w:t xml:space="preserve">муниципального образования город Энгельс </w:t>
      </w:r>
      <w:proofErr w:type="spellStart"/>
      <w:r w:rsidR="001E0470" w:rsidRPr="00293CD7">
        <w:rPr>
          <w:bCs/>
        </w:rPr>
        <w:t>Энгельсского</w:t>
      </w:r>
      <w:proofErr w:type="spellEnd"/>
      <w:r w:rsidR="001E0470" w:rsidRPr="00293CD7">
        <w:rPr>
          <w:bCs/>
        </w:rPr>
        <w:t xml:space="preserve"> муниципального района Саратовской области</w:t>
      </w:r>
      <w:r w:rsidR="001E0470">
        <w:rPr>
          <w:bCs/>
        </w:rPr>
        <w:t xml:space="preserve">,  </w:t>
      </w:r>
      <w:r>
        <w:rPr>
          <w:bCs/>
        </w:rPr>
        <w:t xml:space="preserve">утвержденным муниципальным правовым актом органов местного самоуправления </w:t>
      </w:r>
      <w:r w:rsidRPr="00293CD7">
        <w:rPr>
          <w:bCs/>
        </w:rPr>
        <w:t xml:space="preserve">муниципального образования город Энгельс </w:t>
      </w:r>
      <w:proofErr w:type="spellStart"/>
      <w:r w:rsidRPr="00293CD7">
        <w:rPr>
          <w:bCs/>
        </w:rPr>
        <w:t>Энгельсского</w:t>
      </w:r>
      <w:proofErr w:type="spellEnd"/>
      <w:r w:rsidRPr="00293CD7">
        <w:rPr>
          <w:bCs/>
        </w:rPr>
        <w:t xml:space="preserve"> муниципального района Саратовской области</w:t>
      </w:r>
      <w:r>
        <w:rPr>
          <w:bCs/>
        </w:rPr>
        <w:t xml:space="preserve"> (далее-должностное лицо), а также сведения о доходах, расходах, об имуществе и обязательствах имущественного характера их супруг (супругов) и несовершеннолетних детей.</w:t>
      </w:r>
      <w:proofErr w:type="gramEnd"/>
    </w:p>
    <w:p w:rsidR="00392463" w:rsidRDefault="00392463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3.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392463" w:rsidRDefault="00871314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а) перечень объектов недвижимого имущества, принадлежащих должностному лицу, его супруге (супругу) и несовершеннолетним детям, на праве собственности или находящихся в их пользовании, с указанием вида, площади и страны расположения каждого из них;</w:t>
      </w:r>
    </w:p>
    <w:p w:rsidR="00871314" w:rsidRDefault="00871314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 xml:space="preserve">б)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 </w:t>
      </w:r>
    </w:p>
    <w:p w:rsidR="00871314" w:rsidRDefault="00871314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lastRenderedPageBreak/>
        <w:t>в) декларированный годовой доход должностного лица, его супруги (супруга) и несовершеннолетних детей;</w:t>
      </w:r>
    </w:p>
    <w:p w:rsidR="00871314" w:rsidRDefault="00871314" w:rsidP="00C80A81">
      <w:pPr>
        <w:spacing w:line="288" w:lineRule="auto"/>
        <w:ind w:firstLine="708"/>
        <w:jc w:val="both"/>
        <w:rPr>
          <w:bCs/>
        </w:rPr>
      </w:pPr>
      <w:proofErr w:type="gramStart"/>
      <w:r>
        <w:rPr>
          <w:bCs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 w:rsidR="0048428F">
        <w:rPr>
          <w:bCs/>
        </w:rPr>
        <w:t xml:space="preserve"> должностного лица и его супруги (супруга) за три последних года, предшествующих отчетному периоду.</w:t>
      </w:r>
      <w:proofErr w:type="gramEnd"/>
    </w:p>
    <w:p w:rsidR="0048428F" w:rsidRDefault="0048428F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На официальном сайте размещаются и средствам массовой информации предоставляются для опубликования сведения о доходах, расходах, об имуществе и обязательствах имущественного характера по форме согласно Приложению к настоящему Порядку.</w:t>
      </w:r>
    </w:p>
    <w:p w:rsidR="0048428F" w:rsidRDefault="0048428F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 xml:space="preserve">4. В размещаемых на официальном сайте и предоставляемых средствам массовой информации для опубликования </w:t>
      </w:r>
      <w:r w:rsidRPr="001E0470">
        <w:rPr>
          <w:bCs/>
        </w:rPr>
        <w:t>сведени</w:t>
      </w:r>
      <w:r w:rsidR="001E0470" w:rsidRPr="001E0470">
        <w:rPr>
          <w:bCs/>
        </w:rPr>
        <w:t>ях</w:t>
      </w:r>
      <w:r>
        <w:rPr>
          <w:bCs/>
        </w:rPr>
        <w:t xml:space="preserve"> о доходах, расходах, об имуществе и обязательствах имущественного </w:t>
      </w:r>
      <w:r w:rsidR="00E972FC">
        <w:rPr>
          <w:bCs/>
        </w:rPr>
        <w:t>характера запрещается  указывать:</w:t>
      </w:r>
    </w:p>
    <w:p w:rsidR="00C17BEB" w:rsidRDefault="00C17BEB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а) иные сведения (кроме указанных в пункте 3 настоящего Порядка) о доходах должностного лица, его супруги (супруга) и несовершеннолетних детей;</w:t>
      </w:r>
    </w:p>
    <w:p w:rsidR="00C17BEB" w:rsidRDefault="00C17BEB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б)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 и несовершеннолетних детей;</w:t>
      </w:r>
    </w:p>
    <w:p w:rsidR="00C17BEB" w:rsidRDefault="00C17BEB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в) данные, позволяющие определить местонахождение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пользовании;</w:t>
      </w:r>
    </w:p>
    <w:p w:rsidR="00C17BEB" w:rsidRDefault="00C17BEB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 xml:space="preserve">г) информацию, отнесенную к государственной тайне или являющуюся </w:t>
      </w:r>
      <w:r w:rsidR="00272736">
        <w:rPr>
          <w:bCs/>
        </w:rPr>
        <w:t>конфиденциальной;</w:t>
      </w:r>
    </w:p>
    <w:p w:rsidR="00272736" w:rsidRDefault="00272736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д)  персональные данные супруги (супруга) и несовершеннолетних детей должностного лица.</w:t>
      </w:r>
    </w:p>
    <w:p w:rsidR="00BA3C61" w:rsidRPr="001E0470" w:rsidRDefault="00272736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 xml:space="preserve">5. </w:t>
      </w:r>
      <w:proofErr w:type="gramStart"/>
      <w:r>
        <w:rPr>
          <w:bCs/>
        </w:rPr>
        <w:t xml:space="preserve">Сведения о доходах, расходах, об имуществе и обязательствах имущественного характера, указанные  в пункте 3 настоящее порядка, за весь период замещения должностным  лицом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</w:t>
      </w:r>
      <w:r w:rsidRPr="001E0470">
        <w:rPr>
          <w:bCs/>
        </w:rPr>
        <w:t xml:space="preserve">характера супруги (супруга) и несовершеннолетних детей находятся </w:t>
      </w:r>
      <w:r w:rsidR="00BA3C61" w:rsidRPr="001E0470">
        <w:rPr>
          <w:bCs/>
        </w:rPr>
        <w:t>на официальном</w:t>
      </w:r>
      <w:proofErr w:type="gramEnd"/>
      <w:r w:rsidR="00BA3C61" w:rsidRPr="001E0470">
        <w:rPr>
          <w:bCs/>
        </w:rPr>
        <w:t xml:space="preserve"> </w:t>
      </w:r>
      <w:proofErr w:type="gramStart"/>
      <w:r w:rsidR="00BA3C61" w:rsidRPr="001E0470">
        <w:rPr>
          <w:bCs/>
        </w:rPr>
        <w:t>сайте</w:t>
      </w:r>
      <w:proofErr w:type="gramEnd"/>
      <w:r w:rsidR="001E0470" w:rsidRPr="001E0470">
        <w:rPr>
          <w:bCs/>
        </w:rPr>
        <w:t xml:space="preserve"> и</w:t>
      </w:r>
      <w:r w:rsidR="00BA3C61" w:rsidRPr="001E0470">
        <w:rPr>
          <w:bCs/>
        </w:rPr>
        <w:t xml:space="preserve"> ежегодно обновляются в течение  30 дней со дня  истечения срока, установленного для их подачи.</w:t>
      </w:r>
    </w:p>
    <w:p w:rsidR="00272736" w:rsidRDefault="00BA3C61" w:rsidP="00C80A81">
      <w:pPr>
        <w:spacing w:line="288" w:lineRule="auto"/>
        <w:ind w:firstLine="708"/>
        <w:jc w:val="both"/>
        <w:rPr>
          <w:bCs/>
        </w:rPr>
      </w:pPr>
      <w:r w:rsidRPr="001E0470">
        <w:rPr>
          <w:bCs/>
        </w:rPr>
        <w:t>6. Размещение на</w:t>
      </w:r>
      <w:r>
        <w:rPr>
          <w:bCs/>
        </w:rPr>
        <w:t xml:space="preserve"> официальном сайте сведений, указанных в пункте 3 настоящего Порядка, представленных должностным лицом, обеспечиваются  </w:t>
      </w:r>
      <w:r w:rsidRPr="00BA3C61">
        <w:rPr>
          <w:bCs/>
        </w:rPr>
        <w:t>служб</w:t>
      </w:r>
      <w:r>
        <w:rPr>
          <w:bCs/>
        </w:rPr>
        <w:t>ой</w:t>
      </w:r>
      <w:r w:rsidRPr="00BA3C61">
        <w:rPr>
          <w:bCs/>
        </w:rPr>
        <w:t xml:space="preserve">, осуществляющей ведение кадровой работы в </w:t>
      </w:r>
      <w:proofErr w:type="spellStart"/>
      <w:r w:rsidRPr="00BA3C61">
        <w:rPr>
          <w:bCs/>
        </w:rPr>
        <w:t>Энгельсском</w:t>
      </w:r>
      <w:proofErr w:type="spellEnd"/>
      <w:r w:rsidRPr="00BA3C61">
        <w:rPr>
          <w:bCs/>
        </w:rPr>
        <w:t xml:space="preserve"> городском Совете депутатов.</w:t>
      </w:r>
    </w:p>
    <w:p w:rsidR="00B046E5" w:rsidRDefault="001E0470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7</w:t>
      </w:r>
      <w:r w:rsidR="00B046E5">
        <w:rPr>
          <w:bCs/>
        </w:rPr>
        <w:t>. Сведения о доходах, расходах, об имуществе и обязательствах имущественного характера должностного лица, его супруги (супруга) и несовершеннолетних детей предоставляются для опубликования средствам массовой информации по их запросам.</w:t>
      </w:r>
    </w:p>
    <w:p w:rsidR="00B046E5" w:rsidRDefault="00291F1C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С</w:t>
      </w:r>
      <w:r w:rsidRPr="00BA3C61">
        <w:rPr>
          <w:bCs/>
        </w:rPr>
        <w:t>лужб</w:t>
      </w:r>
      <w:r>
        <w:rPr>
          <w:bCs/>
        </w:rPr>
        <w:t>а</w:t>
      </w:r>
      <w:r w:rsidRPr="00BA3C61">
        <w:rPr>
          <w:bCs/>
        </w:rPr>
        <w:t xml:space="preserve">, осуществляющей ведение кадровой работы в </w:t>
      </w:r>
      <w:proofErr w:type="spellStart"/>
      <w:r w:rsidRPr="00BA3C61">
        <w:rPr>
          <w:bCs/>
        </w:rPr>
        <w:t>Энгельс</w:t>
      </w:r>
      <w:r>
        <w:rPr>
          <w:bCs/>
        </w:rPr>
        <w:t>ском</w:t>
      </w:r>
      <w:proofErr w:type="spellEnd"/>
      <w:r>
        <w:rPr>
          <w:bCs/>
        </w:rPr>
        <w:t xml:space="preserve"> городском Совете депутатов:</w:t>
      </w:r>
    </w:p>
    <w:p w:rsidR="00291F1C" w:rsidRDefault="00291F1C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t>а) в течение трех рабочих дней со дня поступления запроса от средства массовой информации сообщает о нем должностному лицу, в отношении которого поступил запрос;</w:t>
      </w:r>
    </w:p>
    <w:p w:rsidR="00291F1C" w:rsidRDefault="00291F1C" w:rsidP="00C80A81">
      <w:pPr>
        <w:spacing w:line="288" w:lineRule="auto"/>
        <w:ind w:firstLine="708"/>
        <w:jc w:val="both"/>
        <w:rPr>
          <w:bCs/>
        </w:rPr>
      </w:pPr>
      <w:r>
        <w:rPr>
          <w:bCs/>
        </w:rPr>
        <w:lastRenderedPageBreak/>
        <w:t>б) в течение семи рабочих дней со дня поступления запроса от средства массовой информации обеспечивает предоставление ему сведений,  указанных в пункте 3 настоящего Порядка, в том случае, если запрашиваемые сведения отсутствуют на официальном сайте.</w:t>
      </w:r>
    </w:p>
    <w:p w:rsidR="00272736" w:rsidRPr="00293CD7" w:rsidRDefault="00272736" w:rsidP="00293CD7">
      <w:pPr>
        <w:ind w:firstLine="708"/>
        <w:jc w:val="both"/>
      </w:pPr>
    </w:p>
    <w:p w:rsidR="00F622EF" w:rsidRDefault="00F622EF" w:rsidP="00F622EF">
      <w:pPr>
        <w:jc w:val="right"/>
        <w:rPr>
          <w:b/>
        </w:rPr>
      </w:pPr>
    </w:p>
    <w:p w:rsidR="00291F1C" w:rsidRDefault="00291F1C" w:rsidP="00F622EF">
      <w:pPr>
        <w:jc w:val="right"/>
        <w:rPr>
          <w:b/>
        </w:rPr>
      </w:pPr>
    </w:p>
    <w:p w:rsidR="00291F1C" w:rsidRDefault="00291F1C" w:rsidP="00291F1C">
      <w:pPr>
        <w:ind w:right="-28"/>
        <w:jc w:val="center"/>
        <w:rPr>
          <w:rFonts w:eastAsia="Calibri"/>
          <w:b/>
          <w:bCs/>
          <w:lang w:eastAsia="en-US"/>
        </w:rPr>
        <w:sectPr w:rsidR="00291F1C" w:rsidSect="00C80A8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91F1C" w:rsidRDefault="00291F1C" w:rsidP="00291F1C">
      <w:pPr>
        <w:ind w:right="-28"/>
        <w:jc w:val="right"/>
        <w:rPr>
          <w:rFonts w:eastAsia="Calibri"/>
          <w:bCs/>
          <w:lang w:eastAsia="en-US"/>
        </w:rPr>
      </w:pPr>
    </w:p>
    <w:p w:rsidR="00291F1C" w:rsidRDefault="00291F1C" w:rsidP="00291F1C">
      <w:pPr>
        <w:ind w:right="-28"/>
        <w:jc w:val="right"/>
        <w:rPr>
          <w:rFonts w:eastAsia="Calibri"/>
          <w:b/>
          <w:bCs/>
          <w:lang w:eastAsia="en-US"/>
        </w:rPr>
      </w:pPr>
      <w:r w:rsidRPr="00291F1C">
        <w:rPr>
          <w:rFonts w:eastAsia="Calibri"/>
          <w:b/>
          <w:bCs/>
          <w:lang w:eastAsia="en-US"/>
        </w:rPr>
        <w:t>Приложение</w:t>
      </w:r>
    </w:p>
    <w:p w:rsidR="00291F1C" w:rsidRDefault="00291F1C" w:rsidP="00291F1C">
      <w:pPr>
        <w:ind w:left="7229" w:firstLine="1"/>
        <w:jc w:val="right"/>
        <w:rPr>
          <w:b/>
          <w:bCs/>
        </w:rPr>
      </w:pPr>
      <w:proofErr w:type="gramStart"/>
      <w:r>
        <w:rPr>
          <w:b/>
          <w:bCs/>
        </w:rPr>
        <w:t xml:space="preserve">к </w:t>
      </w:r>
      <w:r w:rsidRPr="00F622EF">
        <w:rPr>
          <w:b/>
          <w:bCs/>
        </w:rPr>
        <w:t>Поряд</w:t>
      </w:r>
      <w:r>
        <w:rPr>
          <w:b/>
          <w:bCs/>
        </w:rPr>
        <w:t>ку</w:t>
      </w:r>
      <w:r w:rsidRPr="00F622EF">
        <w:rPr>
          <w:b/>
          <w:bCs/>
        </w:rPr>
        <w:t xml:space="preserve"> размещения сведений о доходах, </w:t>
      </w:r>
      <w:r>
        <w:rPr>
          <w:b/>
          <w:bCs/>
        </w:rPr>
        <w:t xml:space="preserve">расходах, </w:t>
      </w:r>
      <w:r w:rsidRPr="00F622EF">
        <w:rPr>
          <w:b/>
          <w:bCs/>
        </w:rPr>
        <w:t xml:space="preserve">об имуществе и обязательствах имущественного характера лиц, замещающих муниципальные должности муниципального образования город Энгельс </w:t>
      </w:r>
      <w:proofErr w:type="spellStart"/>
      <w:r w:rsidRPr="00F622EF">
        <w:rPr>
          <w:b/>
          <w:bCs/>
        </w:rPr>
        <w:t>Энгельсского</w:t>
      </w:r>
      <w:proofErr w:type="spellEnd"/>
      <w:r w:rsidRPr="00F622EF">
        <w:rPr>
          <w:b/>
          <w:bCs/>
        </w:rPr>
        <w:t xml:space="preserve"> муниципального района Саратовской области, муниципальных служащих органов местного самоуправления муниципального образования город Энгельс </w:t>
      </w:r>
      <w:proofErr w:type="spellStart"/>
      <w:r w:rsidRPr="00F622EF">
        <w:rPr>
          <w:b/>
          <w:bCs/>
        </w:rPr>
        <w:t>Энгельсского</w:t>
      </w:r>
      <w:proofErr w:type="spellEnd"/>
      <w:r w:rsidRPr="00F622EF">
        <w:rPr>
          <w:b/>
          <w:bCs/>
        </w:rPr>
        <w:t xml:space="preserve"> муниципального района Саратовской области в сети Интернет на официальном сайте и предоставления этих сведений средствам массовой информации</w:t>
      </w:r>
      <w:proofErr w:type="gramEnd"/>
    </w:p>
    <w:p w:rsidR="00291F1C" w:rsidRPr="00291F1C" w:rsidRDefault="00291F1C" w:rsidP="00291F1C">
      <w:pPr>
        <w:ind w:right="-28"/>
        <w:jc w:val="right"/>
        <w:rPr>
          <w:rFonts w:eastAsia="Calibri"/>
          <w:b/>
          <w:bCs/>
          <w:lang w:eastAsia="en-US"/>
        </w:rPr>
      </w:pPr>
    </w:p>
    <w:p w:rsidR="00FB2C48" w:rsidRPr="00291F1C" w:rsidRDefault="00291F1C" w:rsidP="00FB2C48">
      <w:pPr>
        <w:ind w:right="-28"/>
        <w:jc w:val="center"/>
        <w:rPr>
          <w:rFonts w:eastAsia="Calibri"/>
          <w:b/>
          <w:bCs/>
          <w:lang w:eastAsia="en-US"/>
        </w:rPr>
      </w:pPr>
      <w:r w:rsidRPr="00291F1C">
        <w:rPr>
          <w:rFonts w:eastAsia="Calibri"/>
          <w:b/>
          <w:bCs/>
          <w:lang w:eastAsia="en-US"/>
        </w:rPr>
        <w:t>С</w:t>
      </w:r>
      <w:r w:rsidR="00FB2C48">
        <w:rPr>
          <w:rFonts w:eastAsia="Calibri"/>
          <w:b/>
          <w:bCs/>
          <w:lang w:eastAsia="en-US"/>
        </w:rPr>
        <w:t xml:space="preserve">ведения </w:t>
      </w:r>
      <w:r w:rsidRPr="00291F1C">
        <w:rPr>
          <w:rFonts w:eastAsia="Calibri"/>
          <w:b/>
          <w:bCs/>
          <w:lang w:eastAsia="en-US"/>
        </w:rPr>
        <w:t xml:space="preserve">о доходах, </w:t>
      </w:r>
      <w:r>
        <w:rPr>
          <w:rFonts w:eastAsia="Calibri"/>
          <w:b/>
          <w:bCs/>
          <w:lang w:eastAsia="en-US"/>
        </w:rPr>
        <w:t xml:space="preserve">расходах, </w:t>
      </w:r>
      <w:r w:rsidRPr="00291F1C">
        <w:rPr>
          <w:rFonts w:eastAsia="Calibri"/>
          <w:b/>
          <w:bCs/>
          <w:lang w:eastAsia="en-US"/>
        </w:rPr>
        <w:t xml:space="preserve">об имуществе </w:t>
      </w:r>
      <w:r>
        <w:rPr>
          <w:rFonts w:eastAsia="Calibri"/>
          <w:b/>
          <w:bCs/>
          <w:lang w:eastAsia="en-US"/>
        </w:rPr>
        <w:t xml:space="preserve">отдельных категорий лиц, замещающих должности в органах местного самоуправления </w:t>
      </w:r>
      <w:r w:rsidRPr="00F622EF">
        <w:rPr>
          <w:b/>
          <w:bCs/>
        </w:rPr>
        <w:t xml:space="preserve">муниципального образования город Энгельс </w:t>
      </w:r>
      <w:proofErr w:type="spellStart"/>
      <w:r w:rsidRPr="00F622EF">
        <w:rPr>
          <w:b/>
          <w:bCs/>
        </w:rPr>
        <w:t>Энгельсского</w:t>
      </w:r>
      <w:proofErr w:type="spellEnd"/>
      <w:r w:rsidRPr="00F622EF">
        <w:rPr>
          <w:b/>
          <w:bCs/>
        </w:rPr>
        <w:t xml:space="preserve"> муниципального района Саратовской области</w:t>
      </w:r>
      <w:r w:rsidR="00FB2C48">
        <w:rPr>
          <w:b/>
          <w:bCs/>
        </w:rPr>
        <w:t xml:space="preserve">, и членов их семей  за период </w:t>
      </w:r>
    </w:p>
    <w:p w:rsidR="00291F1C" w:rsidRPr="00291F1C" w:rsidRDefault="00291F1C" w:rsidP="00291F1C">
      <w:pPr>
        <w:ind w:right="-28"/>
        <w:jc w:val="center"/>
        <w:rPr>
          <w:rFonts w:eastAsia="Calibri"/>
          <w:b/>
          <w:bCs/>
          <w:lang w:eastAsia="en-US"/>
        </w:rPr>
      </w:pPr>
      <w:r w:rsidRPr="00291F1C">
        <w:rPr>
          <w:rFonts w:eastAsia="Calibri"/>
          <w:b/>
          <w:bCs/>
          <w:lang w:eastAsia="en-US"/>
        </w:rPr>
        <w:t>с____________________________ по ____________________</w:t>
      </w:r>
      <w:r w:rsidR="00FB2C48">
        <w:rPr>
          <w:rFonts w:eastAsia="Calibri"/>
          <w:b/>
          <w:bCs/>
          <w:lang w:eastAsia="en-US"/>
        </w:rPr>
        <w:t xml:space="preserve">, </w:t>
      </w:r>
      <w:proofErr w:type="gramStart"/>
      <w:r w:rsidR="00FB2C48">
        <w:rPr>
          <w:rFonts w:eastAsia="Calibri"/>
          <w:b/>
          <w:bCs/>
          <w:lang w:eastAsia="en-US"/>
        </w:rPr>
        <w:t>размещаемые</w:t>
      </w:r>
      <w:proofErr w:type="gramEnd"/>
      <w:r w:rsidR="00FB2C48">
        <w:rPr>
          <w:rFonts w:eastAsia="Calibri"/>
          <w:b/>
          <w:bCs/>
          <w:lang w:eastAsia="en-US"/>
        </w:rPr>
        <w:t xml:space="preserve"> на официальном сайте</w:t>
      </w:r>
    </w:p>
    <w:p w:rsidR="00291F1C" w:rsidRPr="00291F1C" w:rsidRDefault="00291F1C" w:rsidP="00291F1C">
      <w:pPr>
        <w:ind w:right="-28"/>
        <w:jc w:val="center"/>
        <w:rPr>
          <w:rFonts w:eastAsia="Calibri"/>
          <w:b/>
          <w:bCs/>
          <w:lang w:eastAsia="en-US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559"/>
        <w:gridCol w:w="993"/>
        <w:gridCol w:w="1276"/>
        <w:gridCol w:w="1357"/>
        <w:gridCol w:w="1276"/>
        <w:gridCol w:w="1134"/>
        <w:gridCol w:w="1559"/>
        <w:gridCol w:w="1559"/>
        <w:gridCol w:w="1903"/>
      </w:tblGrid>
      <w:tr w:rsidR="00855FC8" w:rsidRPr="00291F1C" w:rsidTr="00855FC8">
        <w:trPr>
          <w:trHeight w:val="778"/>
        </w:trPr>
        <w:tc>
          <w:tcPr>
            <w:tcW w:w="567" w:type="dxa"/>
            <w:vMerge w:val="restart"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Лицо, чьи сведения размещаются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855FC8" w:rsidRPr="00291F1C" w:rsidRDefault="00855FC8" w:rsidP="00FB2C48">
            <w:pPr>
              <w:ind w:right="-28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Объекты,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недвижимо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сти находящиеся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 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собственности</w:t>
            </w:r>
          </w:p>
        </w:tc>
        <w:tc>
          <w:tcPr>
            <w:tcW w:w="3767" w:type="dxa"/>
            <w:gridSpan w:val="3"/>
            <w:shd w:val="clear" w:color="auto" w:fill="auto"/>
          </w:tcPr>
          <w:p w:rsidR="00855FC8" w:rsidRPr="00291F1C" w:rsidRDefault="00855FC8" w:rsidP="00FB2C48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Объекты недвижимого имущества,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находящи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ся в пользовании </w:t>
            </w:r>
          </w:p>
        </w:tc>
        <w:tc>
          <w:tcPr>
            <w:tcW w:w="1559" w:type="dxa"/>
            <w:vMerge w:val="restart"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903" w:type="dxa"/>
            <w:vMerge w:val="restart"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Сведения об источниках получения  средств, за счет которых совершена сделка (вид приобретенного имущества, источник)</w:t>
            </w:r>
          </w:p>
        </w:tc>
      </w:tr>
      <w:tr w:rsidR="00855FC8" w:rsidRPr="00291F1C" w:rsidTr="00855FC8">
        <w:trPr>
          <w:trHeight w:val="554"/>
        </w:trPr>
        <w:tc>
          <w:tcPr>
            <w:tcW w:w="567" w:type="dxa"/>
            <w:vMerge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55FC8" w:rsidRDefault="00855FC8" w:rsidP="00FB2C48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ид </w:t>
            </w:r>
          </w:p>
          <w:p w:rsidR="00855FC8" w:rsidRPr="00291F1C" w:rsidRDefault="00855FC8" w:rsidP="00855FC8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объект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55FC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вид </w:t>
            </w:r>
          </w:p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855FC8" w:rsidRPr="00FB2C48" w:rsidRDefault="00855FC8" w:rsidP="00FB2C48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площадь</w:t>
            </w:r>
          </w:p>
          <w:p w:rsidR="00855FC8" w:rsidRPr="00FB2C48" w:rsidRDefault="00855FC8" w:rsidP="00FB2C48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кв</w:t>
            </w:r>
            <w:proofErr w:type="gram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55FC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расположе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357" w:type="dxa"/>
            <w:shd w:val="clear" w:color="auto" w:fill="auto"/>
          </w:tcPr>
          <w:p w:rsidR="00855FC8" w:rsidRPr="00291F1C" w:rsidRDefault="00855FC8" w:rsidP="00FB2C48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ид объект</w:t>
            </w: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лощадь (</w:t>
            </w:r>
            <w:proofErr w:type="spellStart"/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кв.м</w:t>
            </w:r>
            <w:proofErr w:type="spellEnd"/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855FC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2C4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</w:t>
            </w:r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трана </w:t>
            </w:r>
            <w:proofErr w:type="spellStart"/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располо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  <w:p w:rsidR="00855FC8" w:rsidRPr="00291F1C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91F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/>
          </w:tcPr>
          <w:p w:rsidR="00855FC8" w:rsidRPr="00FB2C48" w:rsidRDefault="00855FC8" w:rsidP="00291F1C">
            <w:pPr>
              <w:ind w:right="-28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B2C48" w:rsidRPr="00291F1C" w:rsidTr="00855FC8">
        <w:trPr>
          <w:trHeight w:val="675"/>
        </w:trPr>
        <w:tc>
          <w:tcPr>
            <w:tcW w:w="567" w:type="dxa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57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FB2C48" w:rsidRPr="00291F1C" w:rsidRDefault="00FB2C48" w:rsidP="00FB2C48">
            <w:pPr>
              <w:ind w:right="936" w:hanging="25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FB2C48" w:rsidRPr="00291F1C" w:rsidRDefault="00FB2C48" w:rsidP="00FB2C48">
            <w:pPr>
              <w:ind w:right="936" w:hanging="25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03" w:type="dxa"/>
          </w:tcPr>
          <w:p w:rsidR="00FB2C48" w:rsidRPr="00291F1C" w:rsidRDefault="00FB2C48" w:rsidP="00FB2C48">
            <w:pPr>
              <w:ind w:right="936" w:hanging="25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B2C48" w:rsidRPr="00291F1C" w:rsidTr="00855FC8">
        <w:trPr>
          <w:trHeight w:val="571"/>
        </w:trPr>
        <w:tc>
          <w:tcPr>
            <w:tcW w:w="567" w:type="dxa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57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2C48" w:rsidRPr="00291F1C" w:rsidRDefault="00FB2C48" w:rsidP="00291F1C">
            <w:pPr>
              <w:ind w:right="-28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FB2C48" w:rsidRPr="00291F1C" w:rsidRDefault="00FB2C48" w:rsidP="00FB2C48">
            <w:pPr>
              <w:ind w:right="936" w:hanging="25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FB2C48" w:rsidRPr="00291F1C" w:rsidRDefault="00FB2C48" w:rsidP="00FB2C48">
            <w:pPr>
              <w:ind w:right="936" w:hanging="25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903" w:type="dxa"/>
          </w:tcPr>
          <w:p w:rsidR="00FB2C48" w:rsidRPr="00291F1C" w:rsidRDefault="00FB2C48" w:rsidP="00FB2C48">
            <w:pPr>
              <w:ind w:right="936" w:hanging="250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291F1C" w:rsidRPr="00291F1C" w:rsidRDefault="00291F1C" w:rsidP="00291F1C">
      <w:pPr>
        <w:spacing w:after="200"/>
        <w:ind w:right="-28"/>
        <w:jc w:val="both"/>
        <w:rPr>
          <w:rFonts w:eastAsia="Calibri"/>
          <w:b/>
          <w:lang w:eastAsia="en-US"/>
        </w:rPr>
      </w:pPr>
    </w:p>
    <w:p w:rsidR="00291F1C" w:rsidRPr="00291F1C" w:rsidRDefault="00291F1C" w:rsidP="00291F1C">
      <w:pPr>
        <w:autoSpaceDE w:val="0"/>
        <w:autoSpaceDN w:val="0"/>
        <w:adjustRightInd w:val="0"/>
        <w:spacing w:line="288" w:lineRule="auto"/>
        <w:jc w:val="both"/>
      </w:pPr>
    </w:p>
    <w:p w:rsidR="00291F1C" w:rsidRPr="000373F1" w:rsidRDefault="00291F1C" w:rsidP="00F622EF">
      <w:pPr>
        <w:jc w:val="right"/>
        <w:rPr>
          <w:b/>
        </w:rPr>
      </w:pPr>
    </w:p>
    <w:sectPr w:rsidR="00291F1C" w:rsidRPr="000373F1" w:rsidSect="00FB2C48">
      <w:pgSz w:w="16838" w:h="11906" w:orient="landscape"/>
      <w:pgMar w:top="567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74"/>
    <w:rsid w:val="000373F1"/>
    <w:rsid w:val="00065881"/>
    <w:rsid w:val="001A3881"/>
    <w:rsid w:val="001E0470"/>
    <w:rsid w:val="00272736"/>
    <w:rsid w:val="00287984"/>
    <w:rsid w:val="00291F1C"/>
    <w:rsid w:val="00293CD7"/>
    <w:rsid w:val="00392463"/>
    <w:rsid w:val="0048428F"/>
    <w:rsid w:val="00484436"/>
    <w:rsid w:val="004C6D75"/>
    <w:rsid w:val="00855FC8"/>
    <w:rsid w:val="008629C7"/>
    <w:rsid w:val="00871314"/>
    <w:rsid w:val="009A231D"/>
    <w:rsid w:val="00B046E5"/>
    <w:rsid w:val="00B5536D"/>
    <w:rsid w:val="00BA3C61"/>
    <w:rsid w:val="00C16474"/>
    <w:rsid w:val="00C17BEB"/>
    <w:rsid w:val="00C80A81"/>
    <w:rsid w:val="00D12213"/>
    <w:rsid w:val="00E41E69"/>
    <w:rsid w:val="00E972FC"/>
    <w:rsid w:val="00F622EF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3F1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37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3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CD7"/>
    <w:rPr>
      <w:color w:val="0000FF" w:themeColor="hyperlink"/>
      <w:u w:val="single"/>
    </w:rPr>
  </w:style>
  <w:style w:type="paragraph" w:styleId="a7">
    <w:name w:val="caption"/>
    <w:basedOn w:val="a"/>
    <w:next w:val="a"/>
    <w:qFormat/>
    <w:rsid w:val="00B5536D"/>
    <w:pPr>
      <w:jc w:val="right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3F1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37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3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CD7"/>
    <w:rPr>
      <w:color w:val="0000FF" w:themeColor="hyperlink"/>
      <w:u w:val="single"/>
    </w:rPr>
  </w:style>
  <w:style w:type="paragraph" w:styleId="a7">
    <w:name w:val="caption"/>
    <w:basedOn w:val="a"/>
    <w:next w:val="a"/>
    <w:qFormat/>
    <w:rsid w:val="00B5536D"/>
    <w:pPr>
      <w:jc w:val="right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gels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Evgenia A. Suvorova</cp:lastModifiedBy>
  <cp:revision>6</cp:revision>
  <cp:lastPrinted>2016-04-27T13:33:00Z</cp:lastPrinted>
  <dcterms:created xsi:type="dcterms:W3CDTF">2016-04-27T10:40:00Z</dcterms:created>
  <dcterms:modified xsi:type="dcterms:W3CDTF">2016-04-27T13:37:00Z</dcterms:modified>
</cp:coreProperties>
</file>